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693" w:type="dxa"/>
        <w:tblInd w:w="96" w:type="dxa"/>
        <w:tblLook w:val="04A0"/>
      </w:tblPr>
      <w:tblGrid>
        <w:gridCol w:w="704"/>
        <w:gridCol w:w="2504"/>
        <w:gridCol w:w="1407"/>
        <w:gridCol w:w="4291"/>
        <w:gridCol w:w="4601"/>
        <w:gridCol w:w="1186"/>
      </w:tblGrid>
      <w:tr w:rsidR="00DE5ECF" w:rsidRPr="00DE5ECF" w:rsidTr="00DE5ECF">
        <w:trPr>
          <w:trHeight w:val="375"/>
        </w:trPr>
        <w:tc>
          <w:tcPr>
            <w:tcW w:w="704" w:type="dxa"/>
            <w:tcBorders>
              <w:top w:val="nil"/>
              <w:left w:val="nil"/>
              <w:bottom w:val="nil"/>
              <w:right w:val="nil"/>
            </w:tcBorders>
            <w:shd w:val="clear" w:color="auto" w:fill="auto"/>
            <w:noWrap/>
            <w:vAlign w:val="center"/>
            <w:hideMark/>
          </w:tcPr>
          <w:p w:rsidR="00DE5ECF" w:rsidRPr="00DE5ECF" w:rsidRDefault="00DE5ECF" w:rsidP="00DE5ECF">
            <w:pPr>
              <w:spacing w:after="0" w:line="240" w:lineRule="auto"/>
              <w:jc w:val="center"/>
              <w:rPr>
                <w:rFonts w:ascii="Times New Roman" w:eastAsia="Times New Roman" w:hAnsi="Times New Roman" w:cs="Times New Roman"/>
                <w:color w:val="000000"/>
                <w:sz w:val="24"/>
                <w:szCs w:val="24"/>
              </w:rPr>
            </w:pPr>
          </w:p>
        </w:tc>
        <w:tc>
          <w:tcPr>
            <w:tcW w:w="2504" w:type="dxa"/>
            <w:tcBorders>
              <w:top w:val="nil"/>
              <w:left w:val="nil"/>
              <w:bottom w:val="nil"/>
              <w:right w:val="nil"/>
            </w:tcBorders>
            <w:shd w:val="clear" w:color="auto" w:fill="auto"/>
            <w:noWrap/>
            <w:vAlign w:val="bottom"/>
            <w:hideMark/>
          </w:tcPr>
          <w:p w:rsidR="00DE5ECF" w:rsidRPr="00DE5ECF" w:rsidRDefault="00DE5ECF" w:rsidP="00DE5ECF">
            <w:pPr>
              <w:spacing w:after="0" w:line="240" w:lineRule="auto"/>
              <w:rPr>
                <w:rFonts w:ascii="Calibri" w:eastAsia="Times New Roman" w:hAnsi="Calibri" w:cs="Calibri"/>
                <w:color w:val="000000"/>
                <w:sz w:val="28"/>
                <w:szCs w:val="28"/>
              </w:rPr>
            </w:pPr>
          </w:p>
        </w:tc>
        <w:tc>
          <w:tcPr>
            <w:tcW w:w="1407" w:type="dxa"/>
            <w:tcBorders>
              <w:top w:val="nil"/>
              <w:left w:val="nil"/>
              <w:bottom w:val="nil"/>
              <w:right w:val="nil"/>
            </w:tcBorders>
            <w:shd w:val="clear" w:color="auto" w:fill="auto"/>
            <w:noWrap/>
            <w:vAlign w:val="bottom"/>
            <w:hideMark/>
          </w:tcPr>
          <w:p w:rsidR="00DE5ECF" w:rsidRPr="00DE5ECF" w:rsidRDefault="00DE5ECF" w:rsidP="00DE5ECF">
            <w:pPr>
              <w:spacing w:after="0" w:line="240" w:lineRule="auto"/>
              <w:rPr>
                <w:rFonts w:ascii="Calibri" w:eastAsia="Times New Roman" w:hAnsi="Calibri" w:cs="Calibri"/>
                <w:color w:val="000000"/>
              </w:rPr>
            </w:pPr>
          </w:p>
        </w:tc>
        <w:tc>
          <w:tcPr>
            <w:tcW w:w="4291" w:type="dxa"/>
            <w:tcBorders>
              <w:top w:val="nil"/>
              <w:left w:val="nil"/>
              <w:bottom w:val="nil"/>
              <w:right w:val="nil"/>
            </w:tcBorders>
            <w:shd w:val="clear" w:color="auto" w:fill="auto"/>
            <w:noWrap/>
            <w:vAlign w:val="bottom"/>
            <w:hideMark/>
          </w:tcPr>
          <w:p w:rsidR="00DE5ECF" w:rsidRPr="00DE5ECF" w:rsidRDefault="00DE5ECF" w:rsidP="00DE5ECF">
            <w:pPr>
              <w:spacing w:after="0" w:line="240" w:lineRule="auto"/>
              <w:rPr>
                <w:rFonts w:ascii="Calibri" w:eastAsia="Times New Roman" w:hAnsi="Calibri" w:cs="Calibri"/>
                <w:color w:val="000000"/>
              </w:rPr>
            </w:pPr>
          </w:p>
        </w:tc>
        <w:tc>
          <w:tcPr>
            <w:tcW w:w="4601" w:type="dxa"/>
            <w:tcBorders>
              <w:top w:val="nil"/>
              <w:left w:val="nil"/>
              <w:bottom w:val="nil"/>
              <w:right w:val="nil"/>
            </w:tcBorders>
            <w:shd w:val="clear" w:color="auto" w:fill="auto"/>
            <w:noWrap/>
            <w:vAlign w:val="bottom"/>
            <w:hideMark/>
          </w:tcPr>
          <w:p w:rsidR="00DE5ECF" w:rsidRPr="00DE5ECF" w:rsidRDefault="00DE5ECF" w:rsidP="00DE5ECF">
            <w:pPr>
              <w:spacing w:after="0" w:line="240" w:lineRule="auto"/>
              <w:rPr>
                <w:rFonts w:ascii="Calibri" w:eastAsia="Times New Roman" w:hAnsi="Calibri" w:cs="Calibri"/>
                <w:color w:val="000000"/>
              </w:rPr>
            </w:pPr>
          </w:p>
        </w:tc>
        <w:tc>
          <w:tcPr>
            <w:tcW w:w="1186" w:type="dxa"/>
            <w:tcBorders>
              <w:top w:val="nil"/>
              <w:left w:val="nil"/>
              <w:bottom w:val="nil"/>
              <w:right w:val="nil"/>
            </w:tcBorders>
            <w:shd w:val="clear" w:color="000000" w:fill="FFFFFF"/>
            <w:noWrap/>
            <w:vAlign w:val="bottom"/>
            <w:hideMark/>
          </w:tcPr>
          <w:p w:rsidR="00DE5ECF" w:rsidRPr="00DE5ECF" w:rsidRDefault="00DE5ECF" w:rsidP="00DE5ECF">
            <w:pPr>
              <w:spacing w:after="0" w:line="240" w:lineRule="auto"/>
              <w:rPr>
                <w:rFonts w:ascii="Calibri" w:eastAsia="Times New Roman" w:hAnsi="Calibri" w:cs="Calibri"/>
                <w:color w:val="000000"/>
              </w:rPr>
            </w:pPr>
            <w:r w:rsidRPr="00DE5ECF">
              <w:rPr>
                <w:rFonts w:ascii="Calibri" w:eastAsia="Times New Roman" w:hAnsi="Calibri" w:cs="Calibri"/>
                <w:color w:val="000000"/>
              </w:rPr>
              <w:t> </w:t>
            </w:r>
          </w:p>
        </w:tc>
      </w:tr>
      <w:tr w:rsidR="00DE5ECF" w:rsidRPr="00DE5ECF" w:rsidTr="00DE5ECF">
        <w:trPr>
          <w:trHeight w:val="300"/>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5ECF" w:rsidRPr="00DE5ECF" w:rsidRDefault="00DE5ECF" w:rsidP="00DE5ECF">
            <w:pPr>
              <w:spacing w:after="0" w:line="240" w:lineRule="auto"/>
              <w:jc w:val="center"/>
              <w:rPr>
                <w:rFonts w:ascii="Times New Roman" w:eastAsia="Times New Roman" w:hAnsi="Times New Roman" w:cs="Times New Roman"/>
                <w:b/>
                <w:bCs/>
                <w:color w:val="000000"/>
                <w:sz w:val="20"/>
                <w:szCs w:val="20"/>
              </w:rPr>
            </w:pPr>
            <w:r w:rsidRPr="00DE5ECF">
              <w:rPr>
                <w:rFonts w:ascii="Times New Roman" w:eastAsia="Times New Roman" w:hAnsi="Times New Roman" w:cs="Times New Roman"/>
                <w:b/>
                <w:bCs/>
                <w:color w:val="000000"/>
                <w:sz w:val="20"/>
                <w:szCs w:val="20"/>
              </w:rPr>
              <w:t>№п/п</w:t>
            </w:r>
          </w:p>
        </w:tc>
        <w:tc>
          <w:tcPr>
            <w:tcW w:w="25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5ECF" w:rsidRPr="00DE5ECF" w:rsidRDefault="00DE5ECF" w:rsidP="00DE5ECF">
            <w:pPr>
              <w:spacing w:after="0" w:line="240" w:lineRule="auto"/>
              <w:jc w:val="center"/>
              <w:rPr>
                <w:rFonts w:ascii="Times New Roman" w:eastAsia="Times New Roman" w:hAnsi="Times New Roman" w:cs="Times New Roman"/>
                <w:b/>
                <w:bCs/>
                <w:color w:val="000000"/>
                <w:sz w:val="20"/>
                <w:szCs w:val="20"/>
              </w:rPr>
            </w:pPr>
            <w:r w:rsidRPr="00DE5ECF">
              <w:rPr>
                <w:rFonts w:ascii="Times New Roman" w:eastAsia="Times New Roman" w:hAnsi="Times New Roman" w:cs="Times New Roman"/>
                <w:b/>
                <w:bCs/>
                <w:color w:val="000000"/>
                <w:sz w:val="20"/>
                <w:szCs w:val="20"/>
              </w:rPr>
              <w:t>Наименование</w:t>
            </w:r>
          </w:p>
        </w:tc>
        <w:tc>
          <w:tcPr>
            <w:tcW w:w="14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5ECF" w:rsidRPr="00DE5ECF" w:rsidRDefault="00DE5ECF" w:rsidP="00DE5ECF">
            <w:pPr>
              <w:spacing w:after="0" w:line="240" w:lineRule="auto"/>
              <w:jc w:val="center"/>
              <w:rPr>
                <w:rFonts w:ascii="Times New Roman" w:eastAsia="Times New Roman" w:hAnsi="Times New Roman" w:cs="Times New Roman"/>
                <w:b/>
                <w:bCs/>
                <w:color w:val="000000"/>
                <w:sz w:val="20"/>
                <w:szCs w:val="20"/>
              </w:rPr>
            </w:pPr>
            <w:r w:rsidRPr="00DE5ECF">
              <w:rPr>
                <w:rFonts w:ascii="Times New Roman" w:eastAsia="Times New Roman" w:hAnsi="Times New Roman" w:cs="Times New Roman"/>
                <w:b/>
                <w:bCs/>
                <w:color w:val="000000"/>
                <w:sz w:val="20"/>
                <w:szCs w:val="20"/>
              </w:rPr>
              <w:t>Ед.изм.</w:t>
            </w:r>
          </w:p>
        </w:tc>
        <w:tc>
          <w:tcPr>
            <w:tcW w:w="42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b/>
                <w:bCs/>
                <w:color w:val="000000"/>
                <w:sz w:val="20"/>
                <w:szCs w:val="20"/>
              </w:rPr>
            </w:pPr>
            <w:r w:rsidRPr="00DE5ECF">
              <w:rPr>
                <w:rFonts w:ascii="Times New Roman" w:eastAsia="Times New Roman" w:hAnsi="Times New Roman" w:cs="Times New Roman"/>
                <w:b/>
                <w:bCs/>
                <w:color w:val="000000"/>
                <w:sz w:val="20"/>
                <w:szCs w:val="20"/>
              </w:rPr>
              <w:t>Техническая спецификация закупаемых ТРУ</w:t>
            </w:r>
          </w:p>
        </w:tc>
        <w:tc>
          <w:tcPr>
            <w:tcW w:w="46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b/>
                <w:bCs/>
                <w:color w:val="000000"/>
                <w:sz w:val="20"/>
                <w:szCs w:val="20"/>
              </w:rPr>
            </w:pPr>
            <w:r w:rsidRPr="00DE5ECF">
              <w:rPr>
                <w:rFonts w:ascii="Times New Roman" w:eastAsia="Times New Roman" w:hAnsi="Times New Roman" w:cs="Times New Roman"/>
                <w:b/>
                <w:bCs/>
                <w:color w:val="000000"/>
                <w:sz w:val="20"/>
                <w:szCs w:val="20"/>
              </w:rPr>
              <w:t>Сатып алынатын тауарлардың техникалық ерекшелігі</w:t>
            </w:r>
          </w:p>
        </w:tc>
        <w:tc>
          <w:tcPr>
            <w:tcW w:w="118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5ECF" w:rsidRPr="00DE5ECF" w:rsidRDefault="00DE5ECF" w:rsidP="00DE5ECF">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Колич.</w:t>
            </w:r>
          </w:p>
        </w:tc>
      </w:tr>
      <w:tr w:rsidR="00DE5ECF" w:rsidRPr="00DE5ECF" w:rsidTr="00DE5ECF">
        <w:trPr>
          <w:trHeight w:val="300"/>
        </w:trPr>
        <w:tc>
          <w:tcPr>
            <w:tcW w:w="704" w:type="dxa"/>
            <w:vMerge/>
            <w:tcBorders>
              <w:top w:val="single" w:sz="4" w:space="0" w:color="auto"/>
              <w:left w:val="single" w:sz="4" w:space="0" w:color="auto"/>
              <w:bottom w:val="single" w:sz="4" w:space="0" w:color="000000"/>
              <w:right w:val="single" w:sz="4" w:space="0" w:color="auto"/>
            </w:tcBorders>
            <w:vAlign w:val="center"/>
            <w:hideMark/>
          </w:tcPr>
          <w:p w:rsidR="00DE5ECF" w:rsidRPr="00DE5ECF" w:rsidRDefault="00DE5ECF" w:rsidP="00DE5ECF">
            <w:pPr>
              <w:spacing w:after="0" w:line="240" w:lineRule="auto"/>
              <w:rPr>
                <w:rFonts w:ascii="Times New Roman" w:eastAsia="Times New Roman" w:hAnsi="Times New Roman" w:cs="Times New Roman"/>
                <w:b/>
                <w:bCs/>
                <w:color w:val="000000"/>
                <w:sz w:val="20"/>
                <w:szCs w:val="20"/>
              </w:rPr>
            </w:pPr>
          </w:p>
        </w:tc>
        <w:tc>
          <w:tcPr>
            <w:tcW w:w="2504" w:type="dxa"/>
            <w:vMerge/>
            <w:tcBorders>
              <w:top w:val="single" w:sz="4" w:space="0" w:color="auto"/>
              <w:left w:val="single" w:sz="4" w:space="0" w:color="auto"/>
              <w:bottom w:val="single" w:sz="4" w:space="0" w:color="000000"/>
              <w:right w:val="single" w:sz="4" w:space="0" w:color="auto"/>
            </w:tcBorders>
            <w:vAlign w:val="center"/>
            <w:hideMark/>
          </w:tcPr>
          <w:p w:rsidR="00DE5ECF" w:rsidRPr="00DE5ECF" w:rsidRDefault="00DE5ECF" w:rsidP="00DE5ECF">
            <w:pPr>
              <w:spacing w:after="0" w:line="240" w:lineRule="auto"/>
              <w:rPr>
                <w:rFonts w:ascii="Times New Roman" w:eastAsia="Times New Roman" w:hAnsi="Times New Roman" w:cs="Times New Roman"/>
                <w:b/>
                <w:bCs/>
                <w:color w:val="000000"/>
                <w:sz w:val="20"/>
                <w:szCs w:val="20"/>
              </w:rPr>
            </w:pPr>
          </w:p>
        </w:tc>
        <w:tc>
          <w:tcPr>
            <w:tcW w:w="1407" w:type="dxa"/>
            <w:vMerge/>
            <w:tcBorders>
              <w:top w:val="single" w:sz="4" w:space="0" w:color="auto"/>
              <w:left w:val="single" w:sz="4" w:space="0" w:color="auto"/>
              <w:bottom w:val="single" w:sz="4" w:space="0" w:color="000000"/>
              <w:right w:val="single" w:sz="4" w:space="0" w:color="auto"/>
            </w:tcBorders>
            <w:vAlign w:val="center"/>
            <w:hideMark/>
          </w:tcPr>
          <w:p w:rsidR="00DE5ECF" w:rsidRPr="00DE5ECF" w:rsidRDefault="00DE5ECF" w:rsidP="00DE5ECF">
            <w:pPr>
              <w:spacing w:after="0" w:line="240" w:lineRule="auto"/>
              <w:rPr>
                <w:rFonts w:ascii="Times New Roman" w:eastAsia="Times New Roman" w:hAnsi="Times New Roman" w:cs="Times New Roman"/>
                <w:b/>
                <w:bCs/>
                <w:color w:val="000000"/>
                <w:sz w:val="20"/>
                <w:szCs w:val="20"/>
              </w:rPr>
            </w:pPr>
          </w:p>
        </w:tc>
        <w:tc>
          <w:tcPr>
            <w:tcW w:w="4291" w:type="dxa"/>
            <w:vMerge/>
            <w:tcBorders>
              <w:top w:val="single" w:sz="4" w:space="0" w:color="auto"/>
              <w:left w:val="single" w:sz="4" w:space="0" w:color="auto"/>
              <w:bottom w:val="single" w:sz="4" w:space="0" w:color="000000"/>
              <w:right w:val="single" w:sz="4" w:space="0" w:color="auto"/>
            </w:tcBorders>
            <w:vAlign w:val="center"/>
            <w:hideMark/>
          </w:tcPr>
          <w:p w:rsidR="00DE5ECF" w:rsidRPr="00DE5ECF" w:rsidRDefault="00DE5ECF" w:rsidP="00DE5ECF">
            <w:pPr>
              <w:spacing w:after="0" w:line="240" w:lineRule="auto"/>
              <w:rPr>
                <w:rFonts w:ascii="Times New Roman" w:eastAsia="Times New Roman" w:hAnsi="Times New Roman" w:cs="Times New Roman"/>
                <w:b/>
                <w:bCs/>
                <w:color w:val="000000"/>
                <w:sz w:val="20"/>
                <w:szCs w:val="20"/>
              </w:rPr>
            </w:pPr>
          </w:p>
        </w:tc>
        <w:tc>
          <w:tcPr>
            <w:tcW w:w="4601" w:type="dxa"/>
            <w:vMerge/>
            <w:tcBorders>
              <w:top w:val="single" w:sz="4" w:space="0" w:color="auto"/>
              <w:left w:val="single" w:sz="4" w:space="0" w:color="auto"/>
              <w:bottom w:val="single" w:sz="4" w:space="0" w:color="000000"/>
              <w:right w:val="single" w:sz="4" w:space="0" w:color="auto"/>
            </w:tcBorders>
            <w:vAlign w:val="center"/>
            <w:hideMark/>
          </w:tcPr>
          <w:p w:rsidR="00DE5ECF" w:rsidRPr="00DE5ECF" w:rsidRDefault="00DE5ECF" w:rsidP="00DE5ECF">
            <w:pPr>
              <w:spacing w:after="0" w:line="240" w:lineRule="auto"/>
              <w:rPr>
                <w:rFonts w:ascii="Times New Roman" w:eastAsia="Times New Roman" w:hAnsi="Times New Roman" w:cs="Times New Roman"/>
                <w:b/>
                <w:bCs/>
                <w:color w:val="000000"/>
                <w:sz w:val="20"/>
                <w:szCs w:val="20"/>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DE5ECF" w:rsidRPr="00DE5ECF" w:rsidRDefault="00DE5ECF" w:rsidP="00DE5ECF">
            <w:pPr>
              <w:spacing w:after="0" w:line="240" w:lineRule="auto"/>
              <w:rPr>
                <w:rFonts w:ascii="Times New Roman" w:eastAsia="Times New Roman" w:hAnsi="Times New Roman" w:cs="Times New Roman"/>
                <w:b/>
                <w:bCs/>
                <w:color w:val="000000"/>
                <w:sz w:val="20"/>
                <w:szCs w:val="20"/>
              </w:rPr>
            </w:pP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 xml:space="preserve">Л-лизин эсцинат  </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внутривенного введения 1 мг/мл №10.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Көктамыр ішіне енгізуге арналған ерітінді 1 мг/мл №10.  Тапсырыс беруші қоймасының орналасқан жеріне дейін жеткізу және түсіру жеткізушінің күшімен. Жеткізу кезінде тұтынушымен келісіңіз. Тауарды жеткізу кезінде ҚР заңнамасымен белгіленген рұқсат беру құжаттарын ұсыну қажет. Дәрілер мен медициналық өнімдердің жарамдылық мерзімі өнім берушінің Тапсырыс берушіге жеткізу күні орамада көрсетілген жарамдылық мерзімінен он екі айдан кем болмауы қажет.</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88</w:t>
            </w:r>
          </w:p>
        </w:tc>
      </w:tr>
      <w:tr w:rsidR="00DE5ECF" w:rsidRPr="00DE5ECF" w:rsidTr="00DE5ECF">
        <w:trPr>
          <w:trHeight w:val="229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2</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Церебролизин 10,0№5</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инъекций, 10 мл, №5.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10 мл, № 5.  Тапсырыс беруші қоймасының орналасқан жеріне дейін жеткізу және түсіру жеткізушінің күшімен. Жеткізу кезінде тұтынушымен келісіңіз. Тауарды жеткізу кезінде ҚР заңнамасымен белгіленген рұқсат беру құжаттарын ұсыну қажет. Дәрілер мен медициналық өнімдердің жарамдылық мерзімі өнім берушінің Тапсырыс берушіге жеткізу күні орамада көрсетілген жарамдылық мерзімінен он екі айдан кем болмауы қажет.</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52</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3</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Мидокалм 1,0№5</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внутримышечного введения, 1 мл, №5.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Бұлшықет ішіне енгізуге арналған ерітінді, 1 мл, № 5.  Тапсырыс беруші қоймасының орналасқан жеріне дейін жеткізу және түсіру жеткізушінің күшімен. Жеткізу кезінде тұтынушымен келісіңіз. Тауарды жеткізу кезінде ҚР заңнамасымен белгіленген рұқсат беру құжаттарын ұсыну қажет. Дәрілер мен медициналық өнімдердің жарамдылық мерзімі өнім берушінің Тапсырыс берушіге жеткізу күні орамада көрсетілген жарамдылық мерзімінен он екі айдан кем болмауы қажет.</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45</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4</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Ксефокам 8мг№5</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Лиофилизат для приготовления раствора для внутривенного и внутримышечного введения, 8 мг, №5.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Көктамыр ішіне және бұлшықет ішіне енгізуге арналған ерітінді дайындауға арналған лиофилизат, 8 мг, №5.  Тапсырыс беруші қоймасының орналасқан жеріне дейін жеткізу және түсіру жеткізушінің күшімен. Жеткізу кезінде тұтынушымен келісіңіз. Тауарды жеткізу кезінде ҚР заңнамасымен белгіленген рұқсат беру құжаттарын ұсыну қажет. Дәрілер мен медициналық өнімдердің жарамдылық мерзімі өнім берушінің Тапсырыс берушіге жеткізу күні орамада көрсетілген жарамдылық мерзімінен он екі айдан кем болмауы қажет.</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58</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5</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Цераксон 1000мг №5</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внутривенного и внутримышечного введения, 1000 мг/4 мл, 4 мл, №5.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Көктамыр ішіне және бұлшықет ішіне енгізуге арналған ерітінді, 1000 мг / 4 мл, 4 мл, № 5.  Тапсырыс беруші қоймасының орналасқан жеріне дейін жеткізу және түсіру жеткізушінің күшімен. Жеткізу кезінде тұтынушымен келісіңіз. Тауарды жеткізу кезінде ҚР заңнамасымен белгіленген рұқсат беру құжаттарын ұсыну қажет. Дәрілер мен медициналық өнімдердің жарамдылық мерзімі өнім берушінің Тапсырыс берушіге жеткізу күні орамада көрсетілген жарамдылық мерзімінен он екі айдан кем болмауы қажет.</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67</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6</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Трентал 5,0№5</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Концентрат для приготовления раствора для инфузий 20 мг/мл, 5 мл №5.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Инфузия ерітіндісін дайындауға арналған концентрат 20 мг/мл, 5 мл №5.  Тапсырыс беруші қоймасының орналасқан жеріне дейін жеткізу және түсіру жеткізушінің күшімен. Жеткізу кезінде тұтынушымен келісіңіз. Тауарды жеткізу кезінде ҚР заңнамасымен белгіленген рұқсат беру құжаттарын ұсыну қажет. Дәрілер мен медициналық өнімдердің жарамдылық мерзімі өнім берушінің Тапсырыс берушіге жеткізу күні орамада көрсетілген жарамдылық мерзімінен он екі айдан кем болмауы қажет.</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132</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7</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Натрия хлорид 0,9%-100,0</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фл</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инфузий, 0,9 %, 100 мл, №1.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Инфузияға арналған ерітінді, 0,9%, 100 мл, №1.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610</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8</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Натрия хлорид 0,9%-200,0</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фл</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инфузий, 0,9 %, 200 мл, №1.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Инфузияға арналған ерітінді, 0,9%, 200 мл, №1.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3160</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9</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Натрия хлорид 0,9%-400,0</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фл</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инфузий, 0,9 %, 400 мл, №1.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Инфузияға арналған ерітінді, 0,9%, 400 мл, №1.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1020</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10</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Анальгин 50% 2,0№ 10</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24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инъекций, 50 %, 2 мл, №10.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50%, 2 мл, №10.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65</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11</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Димедрол 1% 1,0 №10</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инъекций, 1 %, 1 мл, №10.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1%, 1 мл, №10.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78</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12</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Магния сульфат 25% 5,0№5</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инъекций, 25 %, 5 мл, №5.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25%, 5 мл, № 5.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76</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13</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Кетотоп 100 мл  2,0№5</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внутривенного и внутримышечного введения, 100 мг/2мл, 2 мл, №5.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Көктамыр ішіне және бұлшықет ішіне енгізуге арналған ерітінді, 100 мг / 2 мл, 2 мл, № 5.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170</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14</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Папаверин 2,0№10</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инъекций, 2 %, 2 мл №10.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2%, 2 мл №10.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36</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15</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Платифиллин</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подкожного введения, 2 мг/мл, 1 мл, №10.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Тері астына енгізуге арналған ерітінді, 2 мг/мл, 1 мл, № 10.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44</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16</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Мелоксикам 1 %, 1.5 мл, №5</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инъекций, 15мг/1,5 мл, №5.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15 мг/1,5 мл, №5№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46</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17</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Диклоген 75мг/3мл, 3 мл, №5</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внутривенного и внутримышечного введения, 75мг/3мл, 3 мл, № 5.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Көктамыр ішіне және бұлшықет ішіне енгізуге арналған ерітінді, 75 мг / 3 мл, 3 мл, № 5.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38</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18</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Пиридоксина гидрохлорид (Витамин В6)</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инъекций, 5 %, 1мл, №10.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5%, 1мл, №10.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107</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19</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Цианокобаламин(Витамин В12)</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инъекций, 0,05 %, 1 мл, №10.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0,05%, 1 мл, № 10.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112</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20</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Глюкоза 5 %, 200 мл, №1</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фл</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инфузий, 5 %, 200 мл, № 1.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Инфузияға арналған ерітінді, 5%, 200 мл, №1.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285</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21</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Глюкоза 5 %, 400 мл, №1</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фл</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инфузий, 5 %, 400 мл, № 1.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Инфузияға арналған ерітінді, 5%, 400 мл, №1.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960</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22</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Глюкоза10 %, 200 мл, №1</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фл</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инфузий, 10 %, 200 мл, № 1.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Инфузияға арналған ерітінді, 10%, 200 мл, №1.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55</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23</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Глюкоза,  40 % 5 мл №5</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инъекций, 40%, 5 мл, №10.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40%, 5 мл, №10.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20</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24</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Фраксипарин,  3800 МЕ анти-Ха/0.4мл, 0.4 мл, №10</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инъекций, 3800 МЕ анти-Ха/0.4мл, 0.4 мл, №10.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3800 ХБ анти-Ха/0,4мл, 0,4мл, №10.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2</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25</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Никотиновая кислота, 1% 1 мл №10</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инъекций, 1%, 1 мл, №10.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1%, 1 мл, №10.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26</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26</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Прозерин, 0.5 мг/мл, 1 мл, №10</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инъекций, 0.5 мг/мл, 1 мл, №10.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0,5 мг/мл, 1 мл, № 10.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19</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27</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Мелбек, , 15 мг/1,5 мл, №3</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внутримышечных инъекций, 15 мг/1,5 мл, 1.5 мл, №3.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Бұлшықет ішіне енгізуге арналған ерітінді, 15 мг / 1,5 мл, 1,5 мл, № 3.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85</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28</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Атропина сульфат,1 мг/мл 1 мл №10</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инъекций 1 мг/мл 1 мл №10.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1 мг/мл 1 мл №10.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29</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Аскорбиновая кислота,  50 мг/мл, 2 мл, №10</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инъекций, 50 мг/мл, 2 мл, №10.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50 мг/мл, 2 мл, №10.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119</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30</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Дротаверин, 40 мг/2 мл 2 мл №5</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инъекций, 40 мг/2 мл, 2 мл, №5.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40 мг/2 мл, 2 мл, № 5.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87</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31</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Эуфиллин 2,4% 5,0№5</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инъекций, 2,4%, 5 мл, №5.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2,4%, 5 мл, № 5.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33</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32</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Дексаметазон</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 xml:space="preserve"> Раствор для инъекций, 4 мг/мл, 1 мл, №25.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 xml:space="preserve"> Раствор для инъекций, 4 мг/мл, 1 мл, №25№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47</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33</w:t>
            </w:r>
          </w:p>
        </w:tc>
        <w:tc>
          <w:tcPr>
            <w:tcW w:w="2504"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Преднизолон,  30 мг/мл, 1 мл, №3</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внутривенного и внутримышечного введения, 30 мг/мл, 1 мл, № 3.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Көктамыр ішіне және бұлшықет ішіне енгізуге арналған ерітінді, 30 мг/мл, 1 мл, №3№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18</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34</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Маннитол, 15%, 200 мл, №1</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фл</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24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инфузий, 15 %, 200 мл, №1.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Инфузияға арналған ерітінді, 15%, 200 мл, №1№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71</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35</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Гепарин, 5000 ЕД/мл 5 мл №5</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инъекций, 5000 МЕ\мл, 5 мл, №5.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5000 ХБ/мл, 5 мл, № 5№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24</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36</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Цефазолин  1,0г №1</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фл</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Порошок для приготовления раствора для внутривенного и внутримышечного введения, 1 г, №1.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Көктамыр ішіне және бұлшықет ішіне енгізуге арналған ерітінді дайындауға арналған ұнтақ, 1 г, №1.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1636</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37</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Цефтриаксон 1,0г №1</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фл</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Порошок для приготовления раствора для инъекций, 1000 мг, № 1.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дайындауға арналған ұнтақ, 1000 мг, №1.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1050</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38</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Тахибен 5 мл  5,0 №5</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внутривенного введения, 5 мг/мл, 5 мл, № 5.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Көктамыр ішіне енгізуге арналған ерітінді, 5 мг/мл, 5 мл, № 5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39</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Ферсинол,  100 мг/2 мл, 2 мл, №5</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инъекций, 100 мг/2 мл, 2 мл, №5.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100 мг/2 мл, 2 мл, № 5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50</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40</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Тромбо АСС. 100 мг, №30</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Таблетки покрытые кишечнорастворимой пленочной оболочкой, 100 мг, № 30.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Ішек қабықпен қапталған таблеткалар, 100 мг, №30.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20</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41</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Мелоксикам</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инъекций, 15мг/1,5 мл, №5.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15 мг/1,5 мл, №5.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2</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42</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Кардиомагнил,  75 мг, №30</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Таблетки, покрытые пленочной оболочкой, 75 мг, №30.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Қабықпен қапталған таблеткалар, 75 мг, №30.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4</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43</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Физиотенз , 0.4 мг, №14</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Таблетки, покрытые оболочкой, 0,4 мг, № 14.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Қабықпен қапталған таблеткалар, 0,4 мг, №14.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17</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44</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Короним 5мг №50</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Таблетки, 5 мг, № 50.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Таблеткалар, 5 мг, № 50.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5</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45</w:t>
            </w:r>
          </w:p>
        </w:tc>
        <w:tc>
          <w:tcPr>
            <w:tcW w:w="2504"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Кардиоприл 10мг№20</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Таблетки, 10 мг, №20.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Таблеткалар, 10 мг, №20.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52</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46</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Бисопролол 10мг №30</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Таблетки, покрытые оболочкой, 10 мг, №30.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Қабықпен қапталған таблеткалар, 10 мг, №30.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6</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47</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Грандаксин 50мг №60</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Таблетки, 50 мг, №60.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Таблеткалар, 50 мг, №60.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12</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48</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Флунол 150мг №2</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Капсулы, 150 мг, № 2.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Капсулалар, 150 мг, № 2.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67</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49</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Омегаст 20мг№30</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Капсулы кишечнорастворимые, 20 мг, №30,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Ішекте еритін капсулалары, 20 мг, №30.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48</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50</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Бетагист 16мг№30</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Таблетки, 16 мг, №30,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Таблеткалар, 16 мг, №30.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20</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51</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Осевир 75мг№10</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Капсулы, 75 мг, №10,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Капсулалар, 75 мг, №10.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5</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52</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Церулин 2,0№10</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инъекций, 0,5%, 2 мл, №10.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0,5%, 2 мл, № 10.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9</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53</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Фуросемид 1,0№10</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Фуросемид 1% 2,0 №10 раствор для иньекций.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Фуросемид 1% 1,0 №10 инъекцияға арналған ерітінді.  Тапсырыс беруші қоймасының орналасқан жеріне дейін жеткізу және түсіру жеткізушінің күшімен. Жеткізу кезінде тұтынушымен келісіңіз. Тауарды жеткізу кезінде ҚР заңнамасымен белгіленген рұқсат беру құжаттарын ұсыну қажет. Дәрілер мен медициналық өнімдердің жарамдылық мерзімі өнім берушінің Тапсырыс берушіге жеткізу күні орамада көрсетілген жарамдылық мерзімінен он екі айдан кем болмауы қажет.</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12</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54</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Улкарил 200мг №25</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Таблетки, 200 мг, № 25,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Таблеткалар, 200 мг, № 25№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55</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Актовегин,   40 мг/мл, 10 мл, №5</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инъекций, 40 мг/мл, 10 мл, №5.Доставка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40 мг/мл, 10 мл, № 5.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38</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56</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Кавинтон, 10 мг/2 мл, 2 мл, №10</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инъекций, 10 мг/2 мл, 2 мл, №10.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10 мг/2 мл, 2 мл, № 10.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57</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Алкаин капли глазные0,5 %15мл</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фл</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Капли глазные 0.5% №1.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Көз тамшылары 0,5% №1.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2</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58</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Лидокаин, 2%, 2 мл, №10</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инъекций, 2%, 2 мл, №10.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2%, 2 мл, №10.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59</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59</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Лидокаин аэрозоль 10% 38,№1</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фл</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Лидокаин аэрозоль 10% 38,№1.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Лидокаин аэрозоль 10% 38, №1.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15</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60</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Мезатон,  10 мг/мл 1 мл № 10</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инъекций 10 мг/мл 1 мл № 10.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10 мг/мл 1 мл № 10. .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61</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Пилокарпин 10 мл 10,0 мл №1</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фл</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Капли глазные, 10 мг/мл, 10 мл, №1.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Көз тамшылары, 10 мг/мл, 10 мл, №1.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62</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24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Гентамицин ,4 %, 2 мл, №10</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инъекций, 4 %, 2 мл, №10.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4%, 2 мл, №10.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51</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63</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Мидримакс, Капли глазные, 5 мл, №1</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фл</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Капли глазные, 5 мл, №1.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Көз тамшылары, 5 мл, №1.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5</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64</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Комбинил -Дуо,5 мл, №1</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фл</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Капли глазные и ушные, 5 мл, №1.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Көз және құлақ тамшылары, 5 мл, №1.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10</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65</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Флоксал, Капли глазные, 0,3 %, 5 мл, №1</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фл</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Капли глазные, 0,3 %, 5 мл, №1.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Көз тамшылары, 0,3%, 5 мл, №1.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10</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66</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Корнерегель 5г</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фл</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Гель глазной, 5%, 5 гр, №1.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Көзге арналған гель, 5%, 5 гр, №1.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2</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67</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Мизопростол 0,2  №4</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Таблетки, 0.2 мг, №4.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Таблеткалар, 0,2 мг, №4.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10</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68</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 xml:space="preserve">Мифепристон, таблетки, 200 мг, №1 </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Таблетки, 200 мг, №1.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Таблеткалар, 200 мг, №1.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10</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69</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Космофер, раствор для инъекций, 50 мг/мл, 2 мл, №5</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инъекций, 50 мг/мл, 2 мл, №5.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50 мг/мл, 2 мл, № 5.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6</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70</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Цефтриаксон 1,0 №1</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фл</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Порошок для приготовления раствора для инъекций, 1 г, №1.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дайындауға арналған ұнтақ, 1 г, №1.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440</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71</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Ампициллин 1,0 №50</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Порошок для приготовления раствора для инъекций, 1 г, № 50.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дайындауға арналған ұнтақ, 1 г, № 50.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76</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72</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Этамзилат 12,5 №5</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инъекций, 12,5 %, 2 мл, №5.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12,5%, 2 мл, № 5.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137</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73</w:t>
            </w:r>
          </w:p>
        </w:tc>
        <w:tc>
          <w:tcPr>
            <w:tcW w:w="2504"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Железа карбоксимальтоза №5</w:t>
            </w:r>
          </w:p>
        </w:tc>
        <w:tc>
          <w:tcPr>
            <w:tcW w:w="1407"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 xml:space="preserve"> Раствор для внутривенного введения 20 мг/мл 5 мл  №5. Доставка и разгрузка до местоположения склада заказчика силами поставщика. При доставке товара предоставить разрешительные документы установленные законодательством РК</w:t>
            </w:r>
          </w:p>
        </w:tc>
        <w:tc>
          <w:tcPr>
            <w:tcW w:w="4601"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Көктамыр ішіне енгізуге арналған ерітінді 20 мг/мл 5 мл №5.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8</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74</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Зитмак 500 мл №3</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Таблетки, покрытые пленочной оболочкой, 500 мг, № 3.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Қабықпен қапталған таблеткалар, 500 мг, №3.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50</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75</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Метрид ,  0,5%, 100 мл, №1</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фл</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инфузий, 0,5%, 100 мл, № 1.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Инфузияға арналған ерітінді, 0,5%, 100 мл, №1.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530</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76</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Пентоксифиллин, раствор для инъекций, 2%, 5 мл, №5</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инъекций, 2%, 5 мл №5.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2%, 5 мл №5.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51</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77</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Тиамина хлорид-Дарница (Витамин В1 - Дарница),  5%, 1 мл, №5</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инъекций, 5%, 1 мл, №5.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5%, 1 мл, № 5.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14</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78</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Аминокапроновая кислота, раствор для инфузий, 5%, 100 мл, №1</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фл</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инфузий, 5%, 100 мл, №1.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Инфузияға арналған ерітінді, 5%, 100 мл, №1.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45</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79</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Левофлоксацин, раствор для инфузий, 5 мг/мл, 100 мл, №1</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фл</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инфузий, 5 мг/мл, 100 мл, №1.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Инфузияға арналған ерітінді, 5 мг/мл, 100 мл, №1.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224</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80</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Ципрофлоксацин, 0,2 %, 100 мл, №1</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фл</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инфузий, 0,2 %, 100 мл, №1.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Инфузияға арналған ерітінді, 0,2%, 100 мл, №1.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360</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81</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Линкомицин,  30% 2 мл №10</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инъекций 30% 2 мл №10.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30% 2 мл №10.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8</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82</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Адреналин 0,18 % 1 мл №10</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инъекций, 0,18 %, 1 мл, № 10.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0,18%, 1 мл, №10.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5</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83</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Цефуроксим 750,0 №1</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фл</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Порошок для приготовления раствора для инъекций, 750 мг, №1.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дайындауға арналған ұнтақ, 750 мг, №1.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120</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84</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Кальция хлорид 10% 5,0 №5</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24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инъекций, 10%, 5 мл, №5.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10%, 5 мл, № 5.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28</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85</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Гепасан, раствор для инъекций, 5000 МЕ/мл, 5 мл, №5</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инъекций, 5000 МЕ/мл, 5 мл, №5.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5000 ХБ/мл, 5 мл, № 5.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86</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Панкрим №20</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упак</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Таблетки, покрытые кишечнорастворимой оболочкой, №20.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Ішекте еритін қабықпен  қапталған таблеткалар, №20.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15</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87</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Кетотифен1мг№30</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упак</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Таблетки, 1 мг, №30.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Таблеткалар, 1 мг, №30.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5</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88</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Верошпирон 50мг№30</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упак</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Капсулы, 50 мг, №30.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Капсулалар, 50 мг, №30.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5</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89</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Беродуал аэр №1</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упак</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Аэрозоль для ингаляций, дозированный, 10 мл, 200 доз, №1.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Ингаляцияға арналған аэрозоль, мөлшерленген, 10 мл, 200 доза, № 1.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5</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90</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Диалипон</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24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инфузий, 3 %, 20 мл, №5.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Инфузияға арналған ерітінді, 3%, 20 мл, № 5.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3</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91</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Левемир шпр№5</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подкожного введения, 100 ЕД/мл, 3 мл, №5.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Тері астына енгізуге арналған ерітінді, 100 ХБ/мл, 3 мл, №5.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2</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92</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Актрапид№1</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фл</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инъекций, 100 МЕ/мл, 10 мл, №1.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100 ХБ/мл, 10 мл, №1.Тапсырыс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3</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93</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Глюконил500мг№30</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Таблетки, покрытые оболочкой, 500 мг, №30.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Қабықпен қапталған таблеткалар, 500 мг, №30.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3</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94</w:t>
            </w:r>
          </w:p>
        </w:tc>
        <w:tc>
          <w:tcPr>
            <w:tcW w:w="2504"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Гликлазид 60мг№30</w:t>
            </w:r>
          </w:p>
        </w:tc>
        <w:tc>
          <w:tcPr>
            <w:tcW w:w="1407"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Таблетки с модифицированным высвобождением, 60 мг, №30.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Модификацияланған босату таблеткалары, 60 мг, №30.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5</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95</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Глюкофаж500мг№30</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Таблетки пролонгированного действия, 500 мг, №30.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Ұзақ әсер ететін таблеткалар, 500 мг, №30.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5</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96</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Эссенциале5,0№5</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внутривенного введения, 250мг/5мл, 5 мл, №5.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Көктамыр ішіне енгізуге арналған ерітінді, 250мг/5мл, 5 мл, №5.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10</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97</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Реополиглюкин,10%, 200 Мл, №1</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фл</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инфузий, 10 %, 200 мл № 1.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Инфузияға арналған ерітінді, 10%, 200 мл №1.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34</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98</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Гордокс, 100000 КИЕ 10 мл №25</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инъекций, 100000 КИЕ, 10 мл, № 25.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100000 CIE, 10 мл, № 25.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4</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99</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Клексан,  4000 анти-Ха МЕ/0,4 мл, 0.4мл, №10</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инъекций, 4000 анти-Ха МЕ/0,4 мл, 0.4 мл, №10.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4000 анти-Ха ХБ / 0,4 мл, 0,4 мл, № 10.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28</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100</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Нимотоп, 10 мг/50 мл, 50 мл, №1</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фл</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инфузий, 10 мг/50 мл, 50 мл, №1.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Инфузияға арналған ерітінді, 10 мг/50 мл, 50 мл, № 1.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2</w:t>
            </w:r>
          </w:p>
        </w:tc>
      </w:tr>
      <w:tr w:rsidR="00DE5ECF" w:rsidRPr="00DE5ECF" w:rsidTr="00DE5ECF">
        <w:trPr>
          <w:trHeight w:val="306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101</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Гептрал,500 мг, 5 мл, №5</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Порошок лиофилизированный для приготовления раствора для внутривенного и внутримышечного введения в комплекте с растворителем, 500 мг, 5 мл, №5.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Көктамыр ішіне және бұлшықет ішіне енгізуге арналған ерітінді дайындауға арналған лиофилденген ұнтақ, еріткішпен бірге, 500 мг, 5 мл, № 5.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3</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102</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Бупивакаин  Спинал, 5 мг/мл, №5</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инъекций, 5 мг/мл, 4 мл №5.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5 мг/мл, 4 мл №5.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5</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103</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Бупивакаин, рРаствор для инъекций 0,5% 5 мл № 10</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инъекций, 5мг/мл, 10 мл № 10.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5 мг/мл, 10 мл № 10.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5</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104</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Ропивин,  7.5 мг/мл, 10 Мл, №5</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инъекций, 7.5 мг/мл, 10 мл № 5.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7,5 мг/мл, 10 мл № 5.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5</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105</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Гелофузин,  4 %, 500 мл, №10</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инфузий, 4 %, 500 мл, № 10.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Инфузияға арналған ерітінді, 4%, 500 мл, № 10.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5</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106</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Дексдор, 2 мл №25</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Концентрат для приготовления раствора для инфузий, 100 мкг/мл, 2 мл, №25.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Инфузияға арналған ерітінді дайындауға арналған концентрат, 100 мкг/мл, 2 мл, №25.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107</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Польсуксан, раствор для инъекций, 100 мг/5мл, 5 мл, №5</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инъекций, 100 мг/5мл, 5 мл, №5.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100 мг/5 мл, 5 мл, № 5.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2</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108</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Амбро,  15мг/2мл, 2 мл, №5</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инъекций, 15мг/2мл, 2 мл, №5.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15мг/2мл, 2мл, №5.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9</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109</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Микосан, 200 мг/100 мл№1</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фл</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инфузий, 200 мг/100 мл, 100 мл, №1.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Инфузияға арналған ерітінді, 200 мг/100 мл, 100 мл, № 1.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54</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110</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Офлоксацин,  2 мг/мл, 100 мл, №1</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фл</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инфузий, 2 мг/мл, 100 мл, № 1.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Инфузияға арналған ерітінді, 2 мг/мл, 100 мл, №1.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180</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111</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Тиопентал натрия, порошок лиофилизированный для приготовления раствора для инъекций 1 г №40</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Порошок лиофилизированный для приготовления раствора для инъекций, 1 г, №40.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дайындауға арналған лиофильденген ұнтақ, 1 г, №40.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10</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112</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Брайдан, 100 мг/мл 2 мл №1</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фл</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внутривенного введения, 100 мг/мл, № 1.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Көктамыр ішіне енгізуге арналған ерітінді, 100 мг/мл, №1.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113</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Сандостатин,  0.1 мг/мл, 1 мл, №5</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подкожных инъекций, 0.1 мг/мл, 1 мл, №5.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Тері астына енгізуге арналған ерітінді, 0,1 мг/мл, 1 мл, № 5.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14</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114</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Мубопел, 2 %, 15 г №1</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тюб</w:t>
            </w:r>
          </w:p>
        </w:tc>
        <w:tc>
          <w:tcPr>
            <w:tcW w:w="4291"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Мазь для наружного применения, 2 %, 15 г №1.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Сыртқы қолдануға арналған жақпа, 2%, 15 г №1.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24</w:t>
            </w:r>
          </w:p>
        </w:tc>
      </w:tr>
      <w:tr w:rsidR="00DE5ECF" w:rsidRPr="00DE5ECF" w:rsidTr="00DE5ECF">
        <w:trPr>
          <w:trHeight w:val="306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115</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Ардуан,4 мг, №25</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Порошок лиофилизированный для приготовления раствора для внутривенного введения в комплекте с растворителем (0,9 % раствор натрия хлорида), 4 мг, №25.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Көктамыр ішіне енгізуге арналған ерітіндіні дайындауға арналған лиофилденген ұнтақ, еріткішпен (0,9% натрий хлориді ерітіндісі), 4 мг, №25.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w:t>
            </w:r>
          </w:p>
        </w:tc>
      </w:tr>
      <w:tr w:rsidR="00DE5ECF" w:rsidRPr="00DE5ECF" w:rsidTr="00DE5ECF">
        <w:trPr>
          <w:trHeight w:val="306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116</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Эзом IV П 40 мг №1</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фл</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Порошок лиофилизированный для приготовления растворов для инъекций и инфузий в комплекте с растворителем, 40 мг № 1.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және инфузияға арналған ерітінділерді дайындауға арналған лиофильденген ұнтақ, еріткіші бар, 40 мг №1.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95</w:t>
            </w:r>
          </w:p>
        </w:tc>
      </w:tr>
      <w:tr w:rsidR="00DE5ECF" w:rsidRPr="00DE5ECF" w:rsidTr="00DE5ECF">
        <w:trPr>
          <w:trHeight w:val="306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117</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Квамател,  20 мг</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Порошок лиофилизированный для приготовления раствора для инъекций в комплекте с растворителем (0.9 % раствор натрия хлорида), 20 мг №5.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дайындауға арналған лиофилденген ұнтақ, еріткішпен (0,9% натрий хлориді ерітіндісі), 20 мг № 5.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16</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118</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Изофлуран,  250 мл №1</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фл</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Жидкость для ингаляционного наркоза, флакон, 250 мл № 1.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Ингаляциялық анестезияға арналған сұйықтық, бөтелке, 250 мл №1.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2</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119</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Севофлуран, 250 мл, №6</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фл</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ингаляционного наркоза, флакон, 250 мл № 6.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Ингаляциялық анестезияға арналған ерітінді, бөтелке, 250 мл No 6.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2</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120</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Наропин, 7.5мг/мл №5</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инъекций 7.5мг/мл №5.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7,5 мг/мл №5.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4</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121</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Фентанил,0,005%, 2 мл, №5</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инъекций, 0,005%, 2 мл, №5.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0,005%, 2 мл, № 5.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4</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122</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Реланиум,  5 мг/мл, 2 мл, №5</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внутримышечных и внутривенных инъекций, 5 мг/мл, 2 мл, № 5.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Бұлшықет ішіне және көктамыр ішіне енгізуге арналған ерітінді, 5 мг/мл, 2 мл, № 5.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4</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123</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Кетамин, раствор для инъекций, 50 мг/мл, 10 мл, №5</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инъекций, 50 мг/мл, 10 мл, №5.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50 мг/мл, 10 мл, № 5.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124</w:t>
            </w:r>
          </w:p>
        </w:tc>
        <w:tc>
          <w:tcPr>
            <w:tcW w:w="2504"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Бария сульфат по 100 гр</w:t>
            </w:r>
          </w:p>
        </w:tc>
        <w:tc>
          <w:tcPr>
            <w:tcW w:w="1407"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пач</w:t>
            </w:r>
          </w:p>
        </w:tc>
        <w:tc>
          <w:tcPr>
            <w:tcW w:w="4291"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Бария сульфат по 100 гр.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Барий сульфаты 100 гр.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20</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125</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Урсодекс250мг№50</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упак</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Капсулы, 250 мг, №50.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Капсулалар, 250 мг, №50.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5</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126</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24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Линимент бальзамический (по Вишневскому)</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ш</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Линимент, 40 Грамм, №1.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Линимент, 40 грамм, №1.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50</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127</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Калий перманганат</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ш</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Порошок 5гр.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Ұнтақ 5гр.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3</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128</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Лактулоза</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бут/фл</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Сироп, 667 г/л, 500 мл, №1.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Сироп, 667 г/л, 500 мл, №1.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2</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129</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 xml:space="preserve">Меропенем </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фл</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Порошок для приготовления раствора для внутривенного введения, 1 г, №1.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Көктамыр ішіне енгізуге арналған ерітінді дайындауға арналған ұнтақ, 1 г, №1.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40</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130</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Мовипреп</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бут/фл</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Порошок для приготовления раствора для приема внутрь, 112 г, №2.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Ішке қабылдауға арналған ерітінді дайындауға арналған ұнтақ, 112 г, №2.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24</w:t>
            </w:r>
          </w:p>
        </w:tc>
      </w:tr>
      <w:tr w:rsidR="00DE5ECF" w:rsidRPr="00DE5ECF" w:rsidTr="00DE5ECF">
        <w:trPr>
          <w:trHeight w:val="331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131</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Свечи релиф</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суппозитории</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Суппозитории ректальные, №12. Сосудосуживающее средство, уменьшающее кровоточивость, отек и зуд в аноректальной области. Применение препарата способствует улучшению тонуса сосдов.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Ректальды суппозиторийлер, №12. Аноректальды аймақта қан кетуді, ісінуді және қышуды азайтатын вазоконстриктор. Препаратты қолдану сосдованың тонусын жақсартуға көмектеседі.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4</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132</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Галидор</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инъекций, 25 мг/мл, 2 мл, №10.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25 мг/мл, 2 мл, №10.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10</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133</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Диклофенак</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внутривенного и внутримышечного введения, 75мг/3мл, 3 мл, № 5.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Көктамыр ішіне және бұлшықет ішіне енгізуге арналған ерітінді, 75мг/3мл, 3 мл, №5.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20</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134</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Метронидазол</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фл</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инфузий, 0,5 %, 100 мл, № 1.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Инфузияға арналған ерітінді, 0,5%, 100 мл, №1.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40</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135</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Но-шпа</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инъекций, 40 мг/2 мл, 2 мл, №5.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40 мг/2 мл, 2 мл, № 5.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15</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136</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Флуконазол 150 мг</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кап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Капсулы, 150 мг, №1.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Капсулалар, 150 мг, №1.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18</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137</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Венофер</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внутривенного введения, 20 мг/мл, 5 мл, №5.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Көктамыр ішіне енгізуге арналған ерітінді, 20 мг/мл, 5 мл, № 5.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3</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138</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Каптоприл</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Таблетки, 25 мг, №20.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Таблеткалар, 25 мг, №20.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2</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139</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Флебодиа</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Таблетки, покрытые пленочной оболочкой, 600 мг, №30.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Қабықпен қапталған таблеткалар, 600 мг, №30.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3</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140</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Ксарелто 20мг</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Таблетки, покрытые пленочной оболочкой, 20 мг, №28.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Қабықпен қапталған таблеткалар, 20 мг, №28.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97</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141</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 xml:space="preserve"> </w:t>
            </w:r>
            <w:r w:rsidRPr="00DE5ECF">
              <w:rPr>
                <w:rFonts w:ascii="Times New Roman" w:eastAsia="Times New Roman" w:hAnsi="Times New Roman" w:cs="Times New Roman"/>
                <w:color w:val="000000"/>
                <w:sz w:val="20"/>
                <w:szCs w:val="20"/>
              </w:rPr>
              <w:br/>
              <w:t>Ревмоксикам</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24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инъекций, 1 %, 1.5 мл, №10.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1%, 1,5 мл, №10.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 </w:t>
            </w:r>
          </w:p>
        </w:tc>
      </w:tr>
      <w:tr w:rsidR="00DE5ECF" w:rsidRPr="00DE5ECF" w:rsidTr="00DE5ECF">
        <w:trPr>
          <w:trHeight w:val="306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142</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Глиятон</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24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инъекций, 250 мг/мл, 4 мл, №5.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250 мг/мл, 4 мл, № 5.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 </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143</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Повидон-Йод</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фл</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наружного применения, 1 %, 1000 мл, №1.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Сыртқы қолдануға арналған ерітінді, 1%, 1000 мл, №1.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 </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144</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Новокаин</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инъекций, 0.5 %, 5 мл, №10.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0,5%, 5 мл, № 10.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 </w:t>
            </w:r>
          </w:p>
        </w:tc>
      </w:tr>
      <w:tr w:rsidR="00DE5ECF" w:rsidRPr="00DE5ECF" w:rsidTr="00DE5ECF">
        <w:trPr>
          <w:trHeight w:val="306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145</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Мексидол</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24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внутривенного и внутримышечного введения, 50 мг/мл, 5 мл, №5.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Көктамыр ішіне және бұлшықет ішіне енгізуге арналған ерітінді, 50 мг/мл, 5 мл, № 5.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10</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146</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Мильгамма</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внутримышечных инъекций, 2 мл, №5.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Бұлшықет ішіне енгізуге арналған ерітінді, 2 мл, № 5.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10</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147</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Ибупрофен 400 мг</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Таблетки, покрытые оболочкой, 400 мг, №20.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Қабықпен қапталған таблеткалар, 400 мг, №20.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5</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148</w:t>
            </w:r>
          </w:p>
        </w:tc>
        <w:tc>
          <w:tcPr>
            <w:tcW w:w="2504"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Тутукон</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фл</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оральный, 250 мл №1.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Ішу үшін ерітінді, 250 мл №1.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30</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149</w:t>
            </w:r>
          </w:p>
        </w:tc>
        <w:tc>
          <w:tcPr>
            <w:tcW w:w="2504"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Витапрост 10 мг, №10, рект. Свечи</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шт</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Суппозитории ректальные, 10 мг №10.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Ректальды суппозиторийлер, 10 мг №10.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20</w:t>
            </w:r>
          </w:p>
        </w:tc>
      </w:tr>
      <w:tr w:rsidR="00DE5ECF" w:rsidRPr="00DE5ECF" w:rsidTr="00DE5ECF">
        <w:trPr>
          <w:trHeight w:val="306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150</w:t>
            </w:r>
          </w:p>
        </w:tc>
        <w:tc>
          <w:tcPr>
            <w:tcW w:w="2504"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Урорек 4мг №30</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таб</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Капсулы твердые желатиновые, белого цвета, содержимое капсул - аморфный или мелкокристаллический порошок от белого до светло-желтого цвета.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Капсулалар қатты желатинді, ақ түсті, капсуланың ішіндегісі ақтан ашық сарыға дейін аморфты немесе ұсақ кристалды ұнтақ.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10</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151</w:t>
            </w:r>
          </w:p>
        </w:tc>
        <w:tc>
          <w:tcPr>
            <w:tcW w:w="2504"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Алоэ экстракт 1 мл №10</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амп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подкожного введения 1 мл №10 ампулы.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Тері астына енгізуге арналған ерітінді 1 мл № 10 ампула.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100</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152</w:t>
            </w:r>
          </w:p>
        </w:tc>
        <w:tc>
          <w:tcPr>
            <w:tcW w:w="2504"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Синтомициновый мазь</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тюб</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Синтомицин 10%, 25 гр, линимент.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двенадцати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Синтомицин 10%, 25 гр, линимент.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30</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153</w:t>
            </w:r>
          </w:p>
        </w:tc>
        <w:tc>
          <w:tcPr>
            <w:tcW w:w="2504"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Кетонал 2,5 % 50г гель</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тюб</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Гель 2,5%,   50,0  грамм, №1.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12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Гель 2,5%, 50,0 грамм, №1.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30</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154</w:t>
            </w:r>
          </w:p>
        </w:tc>
        <w:tc>
          <w:tcPr>
            <w:tcW w:w="2504"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Стерофундин 250,0</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инфузий, 250 мл, №10.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12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Инфузияға арналған ерітінді, 250 мл, № 10.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10</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155</w:t>
            </w:r>
          </w:p>
        </w:tc>
        <w:tc>
          <w:tcPr>
            <w:tcW w:w="2504"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Цефепим 1,0</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фл</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Порошок для приготовления раствора для инъекций, 1 г № 1.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12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дайындауға арналған ұнтақ, 1 г №1.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10</w:t>
            </w:r>
          </w:p>
        </w:tc>
      </w:tr>
      <w:tr w:rsidR="00DE5ECF" w:rsidRPr="00DE5ECF" w:rsidTr="00DE5ECF">
        <w:trPr>
          <w:trHeight w:val="2805"/>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156</w:t>
            </w:r>
          </w:p>
        </w:tc>
        <w:tc>
          <w:tcPr>
            <w:tcW w:w="2504"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Ванкомицин 1,0</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фл</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Порошок для приготовления раствора для инфузий, 1 г, 20 мл, № 1.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12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Инфузияға арналған ерітінді дайындауға арналған ұнтақ, 1 г, 20 мл, №1.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10</w:t>
            </w:r>
          </w:p>
        </w:tc>
      </w:tr>
      <w:tr w:rsidR="00DE5ECF" w:rsidRPr="00DE5ECF" w:rsidTr="00DE5ECF">
        <w:trPr>
          <w:trHeight w:val="2550"/>
        </w:trPr>
        <w:tc>
          <w:tcPr>
            <w:tcW w:w="704" w:type="dxa"/>
            <w:tcBorders>
              <w:top w:val="nil"/>
              <w:left w:val="single" w:sz="4" w:space="0" w:color="auto"/>
              <w:bottom w:val="single" w:sz="4" w:space="0" w:color="auto"/>
              <w:right w:val="single" w:sz="4" w:space="0" w:color="auto"/>
            </w:tcBorders>
            <w:shd w:val="clear" w:color="auto" w:fill="auto"/>
            <w:noWrap/>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lastRenderedPageBreak/>
              <w:t>157</w:t>
            </w:r>
          </w:p>
        </w:tc>
        <w:tc>
          <w:tcPr>
            <w:tcW w:w="2504"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Аллергопресс 1,0 №5</w:t>
            </w:r>
          </w:p>
        </w:tc>
        <w:tc>
          <w:tcPr>
            <w:tcW w:w="1407"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уп</w:t>
            </w:r>
          </w:p>
        </w:tc>
        <w:tc>
          <w:tcPr>
            <w:tcW w:w="429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Раствор для инъекций, 2 %, 1 мл, №5. Доставка и разгрузка до местоположения склада заказчика силами поставщика. При поставке согласовать с заказчиком. При поставке товара предоставить разрешительные документы установленные законодательством РК. Срок годности ЛС ИМН на дату поставки поставщиком заказчику должно составлять не менее 12 месяцев от указанного срока годности на упаковке.</w:t>
            </w:r>
          </w:p>
        </w:tc>
        <w:tc>
          <w:tcPr>
            <w:tcW w:w="4601" w:type="dxa"/>
            <w:tcBorders>
              <w:top w:val="nil"/>
              <w:left w:val="nil"/>
              <w:bottom w:val="single" w:sz="4" w:space="0" w:color="auto"/>
              <w:right w:val="single" w:sz="4" w:space="0" w:color="auto"/>
            </w:tcBorders>
            <w:shd w:val="clear" w:color="auto" w:fill="auto"/>
            <w:hideMark/>
          </w:tcPr>
          <w:p w:rsidR="00DE5ECF" w:rsidRPr="00DE5ECF" w:rsidRDefault="00DE5ECF" w:rsidP="00DE5ECF">
            <w:pPr>
              <w:spacing w:after="0" w:line="240" w:lineRule="auto"/>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Инъекцияға арналған ерітінді, 2%, 1 мл, № 5. Тапсырыс берушінің қоймасы орналасқан жерге жеткізу және түсіру жеткізушінің күшімен. Жеткізу кезінде тұтынушымен келісіңіз. Тауарларды жеткізу кезінде Қазақстан Республикасының заңнамасында белгіленген рұқсат беру құжаттарын ұсыну қажет. Медициналық мақсаттағы бұйымдарға арналған дәрілік заттың жарамдылық мерзімі жеткізуші тапсырыс берушіге жеткізген күні қаптамада көрсетілген жарамдылық мерзімінен бастап кемінде он екі айды құрауы тиіс.</w:t>
            </w:r>
          </w:p>
        </w:tc>
        <w:tc>
          <w:tcPr>
            <w:tcW w:w="1186" w:type="dxa"/>
            <w:tcBorders>
              <w:top w:val="nil"/>
              <w:left w:val="nil"/>
              <w:bottom w:val="single" w:sz="4" w:space="0" w:color="auto"/>
              <w:right w:val="single" w:sz="4" w:space="0" w:color="auto"/>
            </w:tcBorders>
            <w:shd w:val="clear" w:color="000000" w:fill="FFFFFF"/>
            <w:hideMark/>
          </w:tcPr>
          <w:p w:rsidR="00DE5ECF" w:rsidRPr="00DE5ECF" w:rsidRDefault="00DE5ECF" w:rsidP="00DE5ECF">
            <w:pPr>
              <w:spacing w:after="0" w:line="240" w:lineRule="auto"/>
              <w:jc w:val="center"/>
              <w:rPr>
                <w:rFonts w:ascii="Times New Roman" w:eastAsia="Times New Roman" w:hAnsi="Times New Roman" w:cs="Times New Roman"/>
                <w:color w:val="000000"/>
                <w:sz w:val="20"/>
                <w:szCs w:val="20"/>
              </w:rPr>
            </w:pPr>
            <w:r w:rsidRPr="00DE5ECF">
              <w:rPr>
                <w:rFonts w:ascii="Times New Roman" w:eastAsia="Times New Roman" w:hAnsi="Times New Roman" w:cs="Times New Roman"/>
                <w:color w:val="000000"/>
                <w:sz w:val="20"/>
                <w:szCs w:val="20"/>
              </w:rPr>
              <w:t>2</w:t>
            </w:r>
          </w:p>
        </w:tc>
      </w:tr>
    </w:tbl>
    <w:p w:rsidR="006D39EE" w:rsidRDefault="006D39EE"/>
    <w:sectPr w:rsidR="006D39EE" w:rsidSect="00DE5ECF">
      <w:headerReference w:type="default" r:id="rId6"/>
      <w:pgSz w:w="16838" w:h="11906" w:orient="landscape"/>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9EE" w:rsidRDefault="006D39EE" w:rsidP="00BD204F">
      <w:pPr>
        <w:spacing w:after="0" w:line="240" w:lineRule="auto"/>
      </w:pPr>
      <w:r>
        <w:separator/>
      </w:r>
    </w:p>
  </w:endnote>
  <w:endnote w:type="continuationSeparator" w:id="1">
    <w:p w:rsidR="006D39EE" w:rsidRDefault="006D39EE" w:rsidP="00BD20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9EE" w:rsidRDefault="006D39EE" w:rsidP="00BD204F">
      <w:pPr>
        <w:spacing w:after="0" w:line="240" w:lineRule="auto"/>
      </w:pPr>
      <w:r>
        <w:separator/>
      </w:r>
    </w:p>
  </w:footnote>
  <w:footnote w:type="continuationSeparator" w:id="1">
    <w:p w:rsidR="006D39EE" w:rsidRDefault="006D39EE" w:rsidP="00BD20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04F" w:rsidRPr="00BD204F" w:rsidRDefault="00BD204F" w:rsidP="00BD204F">
    <w:pPr>
      <w:pStyle w:val="a5"/>
      <w:jc w:val="both"/>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BD204F">
      <w:rPr>
        <w:rFonts w:ascii="Times New Roman" w:hAnsi="Times New Roman" w:cs="Times New Roman"/>
        <w:b/>
        <w:sz w:val="20"/>
        <w:szCs w:val="20"/>
      </w:rPr>
      <w:t>Приложение №1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useFELayout/>
  </w:compat>
  <w:rsids>
    <w:rsidRoot w:val="00DE5ECF"/>
    <w:rsid w:val="006D39EE"/>
    <w:rsid w:val="00BD204F"/>
    <w:rsid w:val="00DE5E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E5ECF"/>
    <w:rPr>
      <w:color w:val="0000FF"/>
      <w:u w:val="single"/>
    </w:rPr>
  </w:style>
  <w:style w:type="character" w:styleId="a4">
    <w:name w:val="FollowedHyperlink"/>
    <w:basedOn w:val="a0"/>
    <w:uiPriority w:val="99"/>
    <w:semiHidden/>
    <w:unhideWhenUsed/>
    <w:rsid w:val="00DE5ECF"/>
    <w:rPr>
      <w:color w:val="800080"/>
      <w:u w:val="single"/>
    </w:rPr>
  </w:style>
  <w:style w:type="paragraph" w:customStyle="1" w:styleId="xl63">
    <w:name w:val="xl63"/>
    <w:basedOn w:val="a"/>
    <w:rsid w:val="00DE5EC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a"/>
    <w:rsid w:val="00DE5ECF"/>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5">
    <w:name w:val="xl65"/>
    <w:basedOn w:val="a"/>
    <w:rsid w:val="00DE5ECF"/>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DE5E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DE5E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8">
    <w:name w:val="xl68"/>
    <w:basedOn w:val="a"/>
    <w:rsid w:val="00DE5E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69">
    <w:name w:val="xl69"/>
    <w:basedOn w:val="a"/>
    <w:rsid w:val="00DE5E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0">
    <w:name w:val="xl70"/>
    <w:basedOn w:val="a"/>
    <w:rsid w:val="00DE5E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1">
    <w:name w:val="xl71"/>
    <w:basedOn w:val="a"/>
    <w:rsid w:val="00DE5E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2">
    <w:name w:val="xl72"/>
    <w:basedOn w:val="a"/>
    <w:rsid w:val="00DE5E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3">
    <w:name w:val="xl73"/>
    <w:basedOn w:val="a"/>
    <w:rsid w:val="00DE5E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4">
    <w:name w:val="xl74"/>
    <w:basedOn w:val="a"/>
    <w:rsid w:val="00DE5E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5">
    <w:name w:val="xl75"/>
    <w:basedOn w:val="a"/>
    <w:rsid w:val="00DE5E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6">
    <w:name w:val="xl76"/>
    <w:basedOn w:val="a"/>
    <w:rsid w:val="00DE5EC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7">
    <w:name w:val="xl77"/>
    <w:basedOn w:val="a"/>
    <w:rsid w:val="00DE5EC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8">
    <w:name w:val="xl78"/>
    <w:basedOn w:val="a"/>
    <w:rsid w:val="00DE5E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9">
    <w:name w:val="xl79"/>
    <w:basedOn w:val="a"/>
    <w:rsid w:val="00DE5EC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0">
    <w:name w:val="xl80"/>
    <w:basedOn w:val="a"/>
    <w:rsid w:val="00DE5EC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1">
    <w:name w:val="xl81"/>
    <w:basedOn w:val="a"/>
    <w:rsid w:val="00DE5ECF"/>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2">
    <w:name w:val="xl82"/>
    <w:basedOn w:val="a"/>
    <w:rsid w:val="00DE5E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3">
    <w:name w:val="xl83"/>
    <w:basedOn w:val="a"/>
    <w:rsid w:val="00DE5E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4">
    <w:name w:val="xl84"/>
    <w:basedOn w:val="a"/>
    <w:rsid w:val="00DE5E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5">
    <w:name w:val="xl85"/>
    <w:basedOn w:val="a"/>
    <w:rsid w:val="00DE5E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6">
    <w:name w:val="xl86"/>
    <w:basedOn w:val="a"/>
    <w:rsid w:val="00DE5EC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87">
    <w:name w:val="xl87"/>
    <w:basedOn w:val="a"/>
    <w:rsid w:val="00DE5EC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88">
    <w:name w:val="xl88"/>
    <w:basedOn w:val="a"/>
    <w:rsid w:val="00DE5EC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9">
    <w:name w:val="xl89"/>
    <w:basedOn w:val="a"/>
    <w:rsid w:val="00DE5EC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styleId="a5">
    <w:name w:val="header"/>
    <w:basedOn w:val="a"/>
    <w:link w:val="a6"/>
    <w:uiPriority w:val="99"/>
    <w:semiHidden/>
    <w:unhideWhenUsed/>
    <w:rsid w:val="00BD204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D204F"/>
  </w:style>
  <w:style w:type="paragraph" w:styleId="a7">
    <w:name w:val="footer"/>
    <w:basedOn w:val="a"/>
    <w:link w:val="a8"/>
    <w:uiPriority w:val="99"/>
    <w:semiHidden/>
    <w:unhideWhenUsed/>
    <w:rsid w:val="00BD204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D204F"/>
  </w:style>
</w:styles>
</file>

<file path=word/webSettings.xml><?xml version="1.0" encoding="utf-8"?>
<w:webSettings xmlns:r="http://schemas.openxmlformats.org/officeDocument/2006/relationships" xmlns:w="http://schemas.openxmlformats.org/wordprocessingml/2006/main">
  <w:divs>
    <w:div w:id="201217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53</Pages>
  <Words>21809</Words>
  <Characters>124316</Characters>
  <Application>Microsoft Office Word</Application>
  <DocSecurity>0</DocSecurity>
  <Lines>1035</Lines>
  <Paragraphs>291</Paragraphs>
  <ScaleCrop>false</ScaleCrop>
  <Company>MultiDVD Team</Company>
  <LinksUpToDate>false</LinksUpToDate>
  <CharactersWithSpaces>145834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2023-04-14T06:31:00Z</dcterms:created>
  <dcterms:modified xsi:type="dcterms:W3CDTF">2023-04-14T06:34:00Z</dcterms:modified>
</cp:coreProperties>
</file>